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601A" w14:textId="1496ED76" w:rsidR="005E42B9" w:rsidRDefault="005E42B9" w:rsidP="005E42B9">
      <w:pPr>
        <w:spacing w:line="360" w:lineRule="auto"/>
        <w:jc w:val="center"/>
        <w:rPr>
          <w:rFonts w:ascii="Times New Roman" w:hAnsi="Times New Roman" w:cs="Times New Roman"/>
          <w:sz w:val="24"/>
          <w:szCs w:val="24"/>
        </w:rPr>
      </w:pPr>
      <w:r>
        <w:rPr>
          <w:rFonts w:ascii="Times New Roman" w:hAnsi="Times New Roman" w:cs="Times New Roman"/>
          <w:sz w:val="24"/>
          <w:szCs w:val="24"/>
        </w:rPr>
        <w:t>Análisis de los cambios efectuados de las herramientas Lean en los procesos logísticos</w:t>
      </w:r>
    </w:p>
    <w:p w14:paraId="6BC9EE86" w14:textId="77777777" w:rsidR="00C00B02" w:rsidRPr="00C00B02" w:rsidRDefault="00C00B02" w:rsidP="00C00B02">
      <w:pPr>
        <w:spacing w:line="360" w:lineRule="auto"/>
        <w:jc w:val="center"/>
        <w:rPr>
          <w:rFonts w:ascii="Times New Roman" w:hAnsi="Times New Roman" w:cs="Times New Roman"/>
          <w:sz w:val="24"/>
          <w:szCs w:val="24"/>
        </w:rPr>
      </w:pPr>
    </w:p>
    <w:p w14:paraId="3CD07168"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 xml:space="preserve">María Alejandra Álvarez Arenas </w:t>
      </w:r>
    </w:p>
    <w:p w14:paraId="239B7DD2"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 xml:space="preserve">Gabriela Suárez Velandia </w:t>
      </w:r>
    </w:p>
    <w:p w14:paraId="1F36AF5E" w14:textId="775F6352" w:rsidR="00C00B02" w:rsidRDefault="00C00B02" w:rsidP="00C00B02">
      <w:pPr>
        <w:spacing w:line="360" w:lineRule="auto"/>
        <w:jc w:val="center"/>
        <w:rPr>
          <w:rFonts w:ascii="Times New Roman" w:hAnsi="Times New Roman" w:cs="Times New Roman"/>
          <w:sz w:val="24"/>
          <w:szCs w:val="24"/>
        </w:rPr>
      </w:pPr>
    </w:p>
    <w:p w14:paraId="21722D23" w14:textId="77777777" w:rsidR="005E42B9" w:rsidRPr="00C00B02" w:rsidRDefault="005E42B9" w:rsidP="00C00B02">
      <w:pPr>
        <w:spacing w:line="360" w:lineRule="auto"/>
        <w:jc w:val="center"/>
        <w:rPr>
          <w:rFonts w:ascii="Times New Roman" w:hAnsi="Times New Roman" w:cs="Times New Roman"/>
          <w:sz w:val="24"/>
          <w:szCs w:val="24"/>
        </w:rPr>
      </w:pPr>
    </w:p>
    <w:p w14:paraId="0FF266F8" w14:textId="77777777" w:rsidR="00C00B02" w:rsidRPr="00C00B02" w:rsidRDefault="00C00B02" w:rsidP="00C00B02">
      <w:pPr>
        <w:spacing w:line="360" w:lineRule="auto"/>
        <w:jc w:val="center"/>
        <w:rPr>
          <w:rFonts w:ascii="Times New Roman" w:hAnsi="Times New Roman" w:cs="Times New Roman"/>
          <w:sz w:val="24"/>
          <w:szCs w:val="24"/>
        </w:rPr>
      </w:pPr>
    </w:p>
    <w:p w14:paraId="7CF3D201" w14:textId="77777777" w:rsid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Trabajo de Grado para Optar al Título de Ingeniero Industrial</w:t>
      </w:r>
    </w:p>
    <w:p w14:paraId="2C7D6E37" w14:textId="77777777" w:rsidR="00C00B02" w:rsidRDefault="00C00B02" w:rsidP="00C00B02">
      <w:pPr>
        <w:spacing w:line="360" w:lineRule="auto"/>
        <w:jc w:val="center"/>
        <w:rPr>
          <w:rFonts w:ascii="Times New Roman" w:hAnsi="Times New Roman" w:cs="Times New Roman"/>
          <w:sz w:val="24"/>
          <w:szCs w:val="24"/>
        </w:rPr>
      </w:pPr>
    </w:p>
    <w:p w14:paraId="1D4946B6" w14:textId="30CC664D"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Director</w:t>
      </w:r>
    </w:p>
    <w:p w14:paraId="1F2A6665"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Néstor Raúl Ortiz Pimiento</w:t>
      </w:r>
    </w:p>
    <w:p w14:paraId="38A705F6"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 xml:space="preserve">      PhD. En ingeniería</w:t>
      </w:r>
    </w:p>
    <w:p w14:paraId="7A9C7CF7"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 xml:space="preserve">   </w:t>
      </w:r>
    </w:p>
    <w:p w14:paraId="6072FE53" w14:textId="77777777" w:rsidR="00C00B02" w:rsidRPr="00C00B02" w:rsidRDefault="00C00B02" w:rsidP="00C00B02">
      <w:pPr>
        <w:spacing w:line="360" w:lineRule="auto"/>
        <w:jc w:val="center"/>
        <w:rPr>
          <w:rFonts w:ascii="Times New Roman" w:hAnsi="Times New Roman" w:cs="Times New Roman"/>
          <w:sz w:val="24"/>
          <w:szCs w:val="24"/>
        </w:rPr>
      </w:pPr>
    </w:p>
    <w:p w14:paraId="2CEC8F0C" w14:textId="77777777" w:rsidR="005E42B9" w:rsidRPr="00C00B02" w:rsidRDefault="005E42B9" w:rsidP="00C00B02">
      <w:pPr>
        <w:spacing w:line="360" w:lineRule="auto"/>
        <w:jc w:val="center"/>
        <w:rPr>
          <w:rFonts w:ascii="Times New Roman" w:hAnsi="Times New Roman" w:cs="Times New Roman"/>
          <w:sz w:val="24"/>
          <w:szCs w:val="24"/>
        </w:rPr>
      </w:pPr>
    </w:p>
    <w:p w14:paraId="569D4E38" w14:textId="77777777" w:rsidR="00C00B02" w:rsidRPr="00C00B02" w:rsidRDefault="00C00B02" w:rsidP="00C00B02">
      <w:pPr>
        <w:spacing w:line="360" w:lineRule="auto"/>
        <w:jc w:val="center"/>
        <w:rPr>
          <w:rFonts w:ascii="Times New Roman" w:hAnsi="Times New Roman" w:cs="Times New Roman"/>
          <w:sz w:val="24"/>
          <w:szCs w:val="24"/>
        </w:rPr>
      </w:pPr>
    </w:p>
    <w:p w14:paraId="6BCEA39E"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Universidad Industrial de Santander</w:t>
      </w:r>
    </w:p>
    <w:p w14:paraId="7167C61A"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Facultad de Ingenierías Fisicomecánicas</w:t>
      </w:r>
    </w:p>
    <w:p w14:paraId="3527CE41"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Escuela de Estudios Industriales y Empresariales</w:t>
      </w:r>
    </w:p>
    <w:p w14:paraId="5320625D"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Ingeniería Industrial</w:t>
      </w:r>
    </w:p>
    <w:p w14:paraId="1C6A5FF5" w14:textId="77777777" w:rsidR="00C00B02" w:rsidRPr="00C00B02" w:rsidRDefault="00C00B02" w:rsidP="00C00B02">
      <w:pPr>
        <w:spacing w:line="360" w:lineRule="auto"/>
        <w:jc w:val="center"/>
        <w:rPr>
          <w:rFonts w:ascii="Times New Roman" w:hAnsi="Times New Roman" w:cs="Times New Roman"/>
          <w:sz w:val="24"/>
          <w:szCs w:val="24"/>
        </w:rPr>
      </w:pPr>
      <w:r w:rsidRPr="00C00B02">
        <w:rPr>
          <w:rFonts w:ascii="Times New Roman" w:hAnsi="Times New Roman" w:cs="Times New Roman"/>
          <w:sz w:val="24"/>
          <w:szCs w:val="24"/>
        </w:rPr>
        <w:t>Bucaramanga</w:t>
      </w:r>
    </w:p>
    <w:p w14:paraId="675EBDBA" w14:textId="37EFE922" w:rsidR="00C00B02" w:rsidRDefault="2C1905F0" w:rsidP="00C00B02">
      <w:pPr>
        <w:spacing w:line="360" w:lineRule="auto"/>
        <w:jc w:val="center"/>
        <w:rPr>
          <w:rFonts w:ascii="Times New Roman" w:hAnsi="Times New Roman" w:cs="Times New Roman"/>
          <w:sz w:val="24"/>
          <w:szCs w:val="24"/>
        </w:rPr>
      </w:pPr>
      <w:r w:rsidRPr="5CDFCB66">
        <w:rPr>
          <w:rFonts w:ascii="Times New Roman" w:hAnsi="Times New Roman" w:cs="Times New Roman"/>
          <w:sz w:val="24"/>
          <w:szCs w:val="24"/>
        </w:rPr>
        <w:t>2022</w:t>
      </w:r>
    </w:p>
    <w:p w14:paraId="79BBFCDC" w14:textId="766C80EA" w:rsidR="5CDFCB66" w:rsidRDefault="5CDFCB66" w:rsidP="5CDFCB66">
      <w:pPr>
        <w:spacing w:line="360" w:lineRule="auto"/>
        <w:jc w:val="center"/>
        <w:rPr>
          <w:rFonts w:ascii="Times New Roman" w:hAnsi="Times New Roman" w:cs="Times New Roman"/>
          <w:sz w:val="24"/>
          <w:szCs w:val="24"/>
        </w:rPr>
      </w:pPr>
    </w:p>
    <w:p w14:paraId="6B2F7E9C" w14:textId="656E39F2" w:rsidR="60B38EE4" w:rsidRDefault="60B38EE4" w:rsidP="60B38EE4">
      <w:pPr>
        <w:spacing w:line="360" w:lineRule="auto"/>
        <w:jc w:val="center"/>
        <w:rPr>
          <w:rFonts w:ascii="Times New Roman" w:hAnsi="Times New Roman" w:cs="Times New Roman"/>
          <w:sz w:val="24"/>
          <w:szCs w:val="24"/>
        </w:rPr>
      </w:pPr>
    </w:p>
    <w:p w14:paraId="75232FAE" w14:textId="54D991FF" w:rsidR="00DC6B97" w:rsidRPr="00DC6B97" w:rsidRDefault="00DC6B97" w:rsidP="00DC6B97">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Análisis de los cambios</w:t>
      </w:r>
    </w:p>
    <w:p w14:paraId="49C6B2FE" w14:textId="77777777" w:rsidR="00DC6B97" w:rsidRDefault="00DC6B97" w:rsidP="00091B67">
      <w:pPr>
        <w:spacing w:line="360" w:lineRule="auto"/>
        <w:jc w:val="center"/>
        <w:rPr>
          <w:rFonts w:ascii="Times New Roman" w:hAnsi="Times New Roman" w:cs="Times New Roman"/>
          <w:sz w:val="24"/>
          <w:szCs w:val="24"/>
        </w:rPr>
      </w:pPr>
    </w:p>
    <w:p w14:paraId="44C993AA" w14:textId="6815369F" w:rsidR="77B2063F" w:rsidRDefault="6996EF4A" w:rsidP="5CDFCB66">
      <w:pPr>
        <w:spacing w:line="360" w:lineRule="auto"/>
        <w:jc w:val="both"/>
        <w:rPr>
          <w:rFonts w:ascii="Times New Roman" w:hAnsi="Times New Roman" w:cs="Times New Roman"/>
          <w:color w:val="4472C4" w:themeColor="accent1"/>
          <w:sz w:val="24"/>
          <w:szCs w:val="24"/>
        </w:rPr>
      </w:pPr>
      <w:r w:rsidRPr="5CDFCB66">
        <w:rPr>
          <w:rFonts w:ascii="Times New Roman" w:hAnsi="Times New Roman" w:cs="Times New Roman"/>
          <w:sz w:val="24"/>
          <w:szCs w:val="24"/>
        </w:rPr>
        <w:t>En la actualidad, uno de los grandes retos que enfrentan las empresas es garantizar el correcto funcionamiento de sus procesos logísticos, así como la implementación de estrategias que agreguen valor. En virtud de lo anterior, la aplicación de la filosofía Lean Manufacturing en los procesos logísticos de la cadena de suministro ha tenido un impacto positivo, considerando que su objetivo principal es asegurar que los materiales y la información se encuentren disponibles en el lugar preciso, y así brindar un mejor servicio al cliente con el mínimo costo posible. Más allá del enfoque original del Lean Manufacturing, y con base en los resultados positivos que ha tenido su aplicación, diferentes organizaciones han decidido transformar las herramientas Lean para garantizar su adaptación en los procesos logísticos, manteniendo el foco principal de esta filosofía que es la eliminación de mudas o desperdicios y mantener la mejora continua en las organizaciones.</w:t>
      </w:r>
    </w:p>
    <w:p w14:paraId="15A8AD26" w14:textId="737A0E80" w:rsidR="009112F8" w:rsidRDefault="6996EF4A" w:rsidP="5CDFCB66">
      <w:pPr>
        <w:spacing w:line="360" w:lineRule="auto"/>
        <w:jc w:val="both"/>
        <w:rPr>
          <w:rFonts w:ascii="Times New Roman" w:hAnsi="Times New Roman" w:cs="Times New Roman"/>
          <w:sz w:val="24"/>
          <w:szCs w:val="24"/>
        </w:rPr>
      </w:pPr>
      <w:r w:rsidRPr="34DDBA6F">
        <w:rPr>
          <w:rFonts w:ascii="Times New Roman" w:hAnsi="Times New Roman" w:cs="Times New Roman"/>
          <w:sz w:val="24"/>
          <w:szCs w:val="24"/>
        </w:rPr>
        <w:t>En las diferentes fuentes de información estudiadas, se evidenció el uso de las técnicas VSM, 5S, Diagrama de Ishikagua y OEE en los procesos logísticos de organizaciones pertenecientes a diferentes industrias. Estas herramientas fueron adaptadas e implementadas según las necesidades de cada organización, pues la forma en que los materiales son manipulados depende de la naturaleza de cada sector.</w:t>
      </w:r>
    </w:p>
    <w:p w14:paraId="55FAE64C" w14:textId="06C3B6D0" w:rsidR="009112F8" w:rsidRDefault="6996EF4A" w:rsidP="5CDFCB66">
      <w:pPr>
        <w:spacing w:line="360" w:lineRule="auto"/>
        <w:jc w:val="both"/>
        <w:rPr>
          <w:rFonts w:ascii="Times New Roman" w:hAnsi="Times New Roman" w:cs="Times New Roman"/>
          <w:sz w:val="24"/>
          <w:szCs w:val="24"/>
        </w:rPr>
      </w:pPr>
      <w:r w:rsidRPr="5CDFCB66">
        <w:rPr>
          <w:rFonts w:ascii="Times New Roman" w:hAnsi="Times New Roman" w:cs="Times New Roman"/>
          <w:sz w:val="24"/>
          <w:szCs w:val="24"/>
        </w:rPr>
        <w:t>A lo largo de la revisión de literatura, fue posible evidenciar el interés de los autores por el estudio y aplicación del Value Stream Mapping. De ahí que esta herramienta haya presentado notables adaptaciones para ser implementada en todos los procesos logísticos.</w:t>
      </w:r>
      <w:r w:rsidR="319E8C1A" w:rsidRPr="5CDFCB66">
        <w:rPr>
          <w:rFonts w:ascii="Times New Roman" w:hAnsi="Times New Roman" w:cs="Times New Roman"/>
          <w:sz w:val="24"/>
          <w:szCs w:val="24"/>
        </w:rPr>
        <w:t xml:space="preserve"> Específicamente en</w:t>
      </w:r>
      <w:r w:rsidR="465555A4" w:rsidRPr="5CDFCB66">
        <w:rPr>
          <w:rFonts w:ascii="Times New Roman" w:hAnsi="Times New Roman" w:cs="Times New Roman"/>
          <w:sz w:val="24"/>
          <w:szCs w:val="24"/>
        </w:rPr>
        <w:t xml:space="preserve"> </w:t>
      </w:r>
      <w:r w:rsidR="319E8C1A" w:rsidRPr="5CDFCB66">
        <w:rPr>
          <w:rFonts w:ascii="Times New Roman" w:hAnsi="Times New Roman" w:cs="Times New Roman"/>
          <w:sz w:val="24"/>
          <w:szCs w:val="24"/>
        </w:rPr>
        <w:t xml:space="preserve">el </w:t>
      </w:r>
      <w:r w:rsidR="465555A4" w:rsidRPr="5CDFCB66">
        <w:rPr>
          <w:rFonts w:ascii="Times New Roman" w:hAnsi="Times New Roman" w:cs="Times New Roman"/>
          <w:sz w:val="24"/>
          <w:szCs w:val="24"/>
        </w:rPr>
        <w:t xml:space="preserve">proceso logístico de </w:t>
      </w:r>
      <w:r w:rsidR="319E8C1A" w:rsidRPr="5CDFCB66">
        <w:rPr>
          <w:rFonts w:ascii="Times New Roman" w:hAnsi="Times New Roman" w:cs="Times New Roman"/>
          <w:sz w:val="24"/>
          <w:szCs w:val="24"/>
        </w:rPr>
        <w:t>transporte</w:t>
      </w:r>
      <w:r w:rsidR="465555A4" w:rsidRPr="5CDFCB66">
        <w:rPr>
          <w:rFonts w:ascii="Times New Roman" w:hAnsi="Times New Roman" w:cs="Times New Roman"/>
          <w:sz w:val="24"/>
          <w:szCs w:val="24"/>
        </w:rPr>
        <w:t xml:space="preserve"> y distribución </w:t>
      </w:r>
      <w:r w:rsidR="319E8C1A" w:rsidRPr="5CDFCB66">
        <w:rPr>
          <w:rFonts w:ascii="Times New Roman" w:hAnsi="Times New Roman" w:cs="Times New Roman"/>
          <w:sz w:val="24"/>
          <w:szCs w:val="24"/>
        </w:rPr>
        <w:t xml:space="preserve">se implementó con el nombre de Transportation Value Stream Mapping (TVSM) </w:t>
      </w:r>
      <w:r w:rsidRPr="5CDFCB66">
        <w:rPr>
          <w:rFonts w:ascii="Times New Roman" w:hAnsi="Times New Roman" w:cs="Times New Roman"/>
          <w:sz w:val="24"/>
          <w:szCs w:val="24"/>
        </w:rPr>
        <w:t>orientada a identificar los residuos relacionados con la eficiencia del transporte, al mismo tiempo que considera el ciclo completo de distribución (desde la recolección y carga de los pedidos hasta la recolección de las devoluciones y el cierre administrativo de la ruta).</w:t>
      </w:r>
      <w:r w:rsidR="3CC55100" w:rsidRPr="5CDFCB66">
        <w:rPr>
          <w:rFonts w:ascii="Times New Roman" w:hAnsi="Times New Roman" w:cs="Times New Roman"/>
          <w:sz w:val="24"/>
          <w:szCs w:val="24"/>
        </w:rPr>
        <w:t xml:space="preserve"> </w:t>
      </w:r>
      <w:r w:rsidRPr="5CDFCB66">
        <w:rPr>
          <w:rFonts w:ascii="Times New Roman" w:hAnsi="Times New Roman" w:cs="Times New Roman"/>
          <w:sz w:val="24"/>
          <w:szCs w:val="24"/>
        </w:rPr>
        <w:t xml:space="preserve">na adaptación evidente entre el enfoque original de esta herramienta y el TVSM son las nuevas variables a partir de las cuales se construye el mapa de flujo de valor: </w:t>
      </w:r>
      <w:r w:rsidRPr="5CDFCB66">
        <w:rPr>
          <w:rFonts w:ascii="Times New Roman" w:hAnsi="Times New Roman" w:cs="Times New Roman"/>
          <w:sz w:val="24"/>
          <w:szCs w:val="24"/>
        </w:rPr>
        <w:lastRenderedPageBreak/>
        <w:t>tiempo promedio entre clientes, nivel de utilización de camiones, distancia promedio recorrida por cliente, distancia recorrida en exceso por ruta, promedio de clientes por ruta, porcentaje de clientes no atendidos y porcentaje de devoluciones de producto.</w:t>
      </w:r>
    </w:p>
    <w:p w14:paraId="74238997" w14:textId="311F67D4" w:rsidR="77B2063F" w:rsidRDefault="6996EF4A" w:rsidP="5CDFCB66">
      <w:pPr>
        <w:spacing w:line="360" w:lineRule="auto"/>
        <w:jc w:val="both"/>
        <w:rPr>
          <w:rFonts w:ascii="Times New Roman" w:eastAsia="Times New Roman" w:hAnsi="Times New Roman" w:cs="Times New Roman"/>
          <w:sz w:val="24"/>
          <w:szCs w:val="24"/>
          <w:lang w:val="es"/>
        </w:rPr>
      </w:pPr>
      <w:r w:rsidRPr="5CDFCB66">
        <w:rPr>
          <w:rFonts w:ascii="Times New Roman" w:hAnsi="Times New Roman" w:cs="Times New Roman"/>
          <w:sz w:val="24"/>
          <w:szCs w:val="24"/>
        </w:rPr>
        <w:t xml:space="preserve">El VSM también fue aplicado en el proceso de almacenamiento, adquiriendo el nombre de Warehousing Value Strem Mapping (WVSM). Esta herramienta incluye la descripción de diferentes residuos relacionados con la mejora de la eficiencia del almacén. Asimismo, este nuevo enfoque del VSM es empleado como medida de rendimiento en las operaciones logísticas de almacenamiento. </w:t>
      </w:r>
      <w:r w:rsidRPr="5CDFCB66">
        <w:rPr>
          <w:rFonts w:ascii="Times New Roman" w:eastAsia="Times New Roman" w:hAnsi="Times New Roman" w:cs="Times New Roman"/>
          <w:sz w:val="24"/>
          <w:szCs w:val="24"/>
          <w:lang w:val="es"/>
        </w:rPr>
        <w:t>Finalmente, el VSM fue adaptado al proceso de abastecimiento con el nombre de Purchasing Value Stream Mapping (PVSM). El uso de esta herramienta permite identificar los suministros defectuosos, los desperdicios y retrasos en todas las actividades de adquisición, con el fin de reducirlos y favorecer a la creación de valor desde el proceso logístico de abastecimiento.</w:t>
      </w:r>
    </w:p>
    <w:p w14:paraId="488C6924" w14:textId="7B8FF654" w:rsidR="77B2063F" w:rsidRDefault="6996EF4A" w:rsidP="5CDFCB66">
      <w:pPr>
        <w:spacing w:line="360" w:lineRule="auto"/>
        <w:jc w:val="both"/>
        <w:rPr>
          <w:rFonts w:ascii="Times New Roman" w:hAnsi="Times New Roman" w:cs="Times New Roman"/>
          <w:sz w:val="24"/>
          <w:szCs w:val="24"/>
        </w:rPr>
      </w:pPr>
      <w:r w:rsidRPr="5CDFCB66">
        <w:rPr>
          <w:rFonts w:ascii="Times New Roman" w:hAnsi="Times New Roman" w:cs="Times New Roman"/>
          <w:sz w:val="24"/>
          <w:szCs w:val="24"/>
        </w:rPr>
        <w:t>La herramienta Overall Equipment Effectiveness (OEE), cuyo enfoque original está orientado a medir el rendimiento de la maquinaria empleada en los procesos de manufactura, fue implementada en el proceso logístico del transporte con el nombre de Overall Vehicle Effectiveness (OVE). Su propósito era medir la eficiencia de los transportes por camión considerando el tiempo de carga (este tiempo hace referencia al tiempo total disponible para el transporte en un período determinado). Posteriormente, se identificó que el tiempo de carga no permitía reflejar la utilización real del vehículo, por lo que la medida de rendimiento OVE fue adaptada a Total Operational Vehicle Effectivenes (TOVE). Dado que gran parte de las industrias emplean turnos múltiples para mejorar la utilización de los vehículos, esta medida sustituyó el tiempo de carga por el tiempo total de calendario, pues está demostrado que el tiempo de carga no refleja la utilización real de los vehículos.</w:t>
      </w:r>
    </w:p>
    <w:p w14:paraId="00286D09" w14:textId="7322A908" w:rsidR="77B2063F" w:rsidRDefault="4711488E" w:rsidP="5CDFCB66">
      <w:pPr>
        <w:spacing w:line="360" w:lineRule="auto"/>
        <w:jc w:val="both"/>
        <w:rPr>
          <w:rFonts w:ascii="Times New Roman" w:hAnsi="Times New Roman" w:cs="Times New Roman"/>
          <w:color w:val="4472C4" w:themeColor="accent1"/>
          <w:sz w:val="24"/>
          <w:szCs w:val="24"/>
        </w:rPr>
      </w:pPr>
      <w:r w:rsidRPr="5CDFCB66">
        <w:rPr>
          <w:rFonts w:ascii="Times New Roman" w:hAnsi="Times New Roman" w:cs="Times New Roman"/>
          <w:sz w:val="24"/>
          <w:szCs w:val="24"/>
        </w:rPr>
        <w:t>Demás herramientas como las 5S también presentaron cambios en su adaptación especialmente en el proceso de almacenamiento, puesto que e</w:t>
      </w:r>
      <w:r w:rsidR="6996EF4A" w:rsidRPr="5CDFCB66">
        <w:rPr>
          <w:rFonts w:ascii="Times New Roman" w:hAnsi="Times New Roman" w:cs="Times New Roman"/>
          <w:sz w:val="24"/>
          <w:szCs w:val="24"/>
        </w:rPr>
        <w:t>s habitual que en el lugar en que se realizan las actividades de este proceso se presenten una serie de actividades y desechos que no agregan valor y que retrasan el cumplimiento de los pedidos como el desorden, una mala organización y un incorrecto Layout. De esta forma, el almacén representa una oportunidad para que, a través de la implementación se las 5’S, se logre una correcta organización y limpieza que permita acortar las distancias recorridas por los empleados.</w:t>
      </w:r>
    </w:p>
    <w:p w14:paraId="4DB48459" w14:textId="0214195D" w:rsidR="77B2063F" w:rsidRDefault="6996EF4A" w:rsidP="60B38EE4">
      <w:pPr>
        <w:spacing w:line="360" w:lineRule="auto"/>
        <w:jc w:val="both"/>
        <w:rPr>
          <w:rFonts w:ascii="Times New Roman" w:hAnsi="Times New Roman" w:cs="Times New Roman"/>
          <w:sz w:val="24"/>
          <w:szCs w:val="24"/>
        </w:rPr>
      </w:pPr>
      <w:r w:rsidRPr="60B38EE4">
        <w:rPr>
          <w:rFonts w:ascii="Times New Roman" w:hAnsi="Times New Roman" w:cs="Times New Roman"/>
          <w:sz w:val="24"/>
          <w:szCs w:val="24"/>
        </w:rPr>
        <w:lastRenderedPageBreak/>
        <w:t xml:space="preserve">Uno de los pilares del Lean Manufacturing, el JIT, fue aplicado para un nuevo modelo de distribución logística a través del suministro basado en el sistema PULL. Esta metodología trajo consigo una mejora significativa en la eficiencia de los procesos logísticos de las empresas. De igual forma, es imprescindible resaltar la importancia del uso de las herramientas antecesoras del Lean Manufacturing. Una de ellas es el Diagrama de Ishikawa, empleada por los autores estudiados para identificar la causa raíz de los problemas en los procesos logísticos. No se evidenció una transformación en cuanto a la estructura o metodología de esta herramienta, sino que su adaptación tan solo incluye su aplicación desde una perspectiva logística. Finalmente, en el proceso de gestión de inventarios se evidenció la adaptación de la herramienta Kanban, la cual tomó el nombre de </w:t>
      </w:r>
      <w:r w:rsidR="5CDFCB66" w:rsidRPr="60B38EE4">
        <w:rPr>
          <w:rFonts w:ascii="Times New Roman" w:eastAsia="Times New Roman" w:hAnsi="Times New Roman" w:cs="Times New Roman"/>
          <w:sz w:val="24"/>
          <w:szCs w:val="24"/>
          <w:lang w:val="es"/>
        </w:rPr>
        <w:t>Kanban escalonado o de múltiples niveles (E-k) y tiene como objetivo obtener información exacta sobre la cantidad y el tipo de productos disponibles en el inventario logrando  aumentar la capacidad de inventario y disminuir el número de pedidos pendientes.</w:t>
      </w:r>
    </w:p>
    <w:p w14:paraId="59FEC371" w14:textId="3287F40B" w:rsidR="77B2063F" w:rsidRDefault="6996EF4A" w:rsidP="5CDFCB66">
      <w:pPr>
        <w:spacing w:line="360" w:lineRule="auto"/>
        <w:jc w:val="both"/>
        <w:rPr>
          <w:rFonts w:ascii="Times New Roman" w:hAnsi="Times New Roman" w:cs="Times New Roman"/>
          <w:color w:val="4472C4" w:themeColor="accent1"/>
          <w:sz w:val="24"/>
          <w:szCs w:val="24"/>
        </w:rPr>
      </w:pPr>
      <w:r w:rsidRPr="5CDFCB66">
        <w:rPr>
          <w:rFonts w:ascii="Times New Roman" w:hAnsi="Times New Roman" w:cs="Times New Roman"/>
          <w:sz w:val="24"/>
          <w:szCs w:val="24"/>
        </w:rPr>
        <w:t>En la presente investigación se identificó una serie de herramientas que, hasta el momento no han sido aplicadas en los procesos logísticos. Estas son el Formato A3, Celdas de fabricación, Jidoka y Yamazumi.  Basado en la opinión de las autoras, se ha determinado que no es posible aplicar el concepto de Celdas de fabricación desde una perspectiva logística, ya que esta herramienta busca ordenar los procesos de manera secuencial, sin incurrir en desplazamientos, y la logística incluye actividades que no están adaptadas de manera secuencial y que, además, requieren de movimientos y desplazamientos. Sin embargo, las autoras consideran que las demás herramientas pueden ser aplicadas en los diferentes procesos logísticos. En el caso particular del Formato A3, su implementación permitiría al personal encargado de implementar proyectos Lean tener un orden lógico de lo que se pretende hacer, así como la fácil detección de problemas con sus causas y un respectivo seguimiento en el que se determine si lo está ejecutando es justo lo que se tenía planificado.</w:t>
      </w:r>
    </w:p>
    <w:p w14:paraId="04BD9E26" w14:textId="52A6D186" w:rsidR="77B2063F" w:rsidRDefault="6996EF4A" w:rsidP="75D1E18B">
      <w:pPr>
        <w:spacing w:line="360" w:lineRule="auto"/>
        <w:jc w:val="both"/>
        <w:rPr>
          <w:rFonts w:ascii="Times New Roman" w:hAnsi="Times New Roman" w:cs="Times New Roman"/>
          <w:color w:val="4472C4" w:themeColor="accent1"/>
          <w:sz w:val="24"/>
          <w:szCs w:val="24"/>
        </w:rPr>
      </w:pPr>
      <w:r w:rsidRPr="75D1E18B">
        <w:rPr>
          <w:rFonts w:ascii="Times New Roman" w:hAnsi="Times New Roman" w:cs="Times New Roman"/>
          <w:sz w:val="24"/>
          <w:szCs w:val="24"/>
        </w:rPr>
        <w:t>La figura que se muestra a continuación representa la adaptación de las diferentes herramientas del Lean Manufacturing implementadas en los procesos logísticos de abastecimiento, almacenamiento, gestión de inventarios, transporte y distribución, las cuales fueron explicadas anteriormente.</w:t>
      </w:r>
    </w:p>
    <w:p w14:paraId="618D3AE4" w14:textId="47BA5041" w:rsidR="77B2063F" w:rsidRDefault="5CDFCB66" w:rsidP="5CDFCB66">
      <w:pPr>
        <w:spacing w:line="360" w:lineRule="auto"/>
        <w:jc w:val="both"/>
        <w:rPr>
          <w:rFonts w:ascii="Times New Roman" w:eastAsia="Times New Roman" w:hAnsi="Times New Roman" w:cs="Times New Roman"/>
          <w:i/>
          <w:iCs/>
          <w:color w:val="44546A" w:themeColor="text2"/>
          <w:sz w:val="24"/>
          <w:szCs w:val="24"/>
        </w:rPr>
      </w:pPr>
      <w:r w:rsidRPr="5CDFCB66">
        <w:rPr>
          <w:rFonts w:ascii="Times New Roman" w:hAnsi="Times New Roman" w:cs="Times New Roman"/>
          <w:sz w:val="24"/>
          <w:szCs w:val="24"/>
        </w:rPr>
        <w:t xml:space="preserve"> </w:t>
      </w:r>
      <w:r w:rsidRPr="5CDFCB66">
        <w:rPr>
          <w:rFonts w:ascii="Times New Roman" w:eastAsia="Times New Roman" w:hAnsi="Times New Roman" w:cs="Times New Roman"/>
          <w:i/>
          <w:iCs/>
          <w:color w:val="44546A" w:themeColor="text2"/>
          <w:sz w:val="24"/>
          <w:szCs w:val="24"/>
        </w:rPr>
        <w:t xml:space="preserve">Apendice G </w:t>
      </w:r>
    </w:p>
    <w:p w14:paraId="237672C8" w14:textId="2137167F" w:rsidR="77B2063F" w:rsidRDefault="5CDFCB66" w:rsidP="5CDFCB66">
      <w:pPr>
        <w:spacing w:line="360" w:lineRule="auto"/>
        <w:jc w:val="both"/>
        <w:rPr>
          <w:rFonts w:ascii="Times New Roman" w:eastAsia="Times New Roman" w:hAnsi="Times New Roman" w:cs="Times New Roman"/>
          <w:color w:val="000000" w:themeColor="text1"/>
          <w:sz w:val="24"/>
          <w:szCs w:val="24"/>
        </w:rPr>
      </w:pPr>
      <w:r w:rsidRPr="5CDFCB66">
        <w:rPr>
          <w:rFonts w:ascii="Times New Roman" w:eastAsia="Times New Roman" w:hAnsi="Times New Roman" w:cs="Times New Roman"/>
          <w:i/>
          <w:iCs/>
          <w:color w:val="44546A" w:themeColor="text2"/>
          <w:sz w:val="24"/>
          <w:szCs w:val="24"/>
        </w:rPr>
        <w:lastRenderedPageBreak/>
        <w:t xml:space="preserve">Adaptación de herramientas Lean en los procesos logísticos. </w:t>
      </w:r>
      <w:r w:rsidRPr="5CDFCB66">
        <w:rPr>
          <w:rFonts w:ascii="Times New Roman" w:eastAsia="Times New Roman" w:hAnsi="Times New Roman" w:cs="Times New Roman"/>
          <w:i/>
          <w:iCs/>
          <w:color w:val="44546A" w:themeColor="text2"/>
          <w:sz w:val="24"/>
          <w:szCs w:val="24"/>
          <w:lang w:val="es"/>
        </w:rPr>
        <w:t>“Estudio exploratorio sobre la implementación de técnicas de lean manufacturing en los procesos logísticos (lean logistics)”.</w:t>
      </w:r>
    </w:p>
    <w:p w14:paraId="735431E2" w14:textId="4B3D7676" w:rsidR="77B2063F" w:rsidRDefault="77B2063F" w:rsidP="5CDFCB66">
      <w:pPr>
        <w:spacing w:line="360" w:lineRule="auto"/>
        <w:jc w:val="both"/>
        <w:rPr>
          <w:rFonts w:ascii="Times New Roman" w:eastAsia="Times New Roman" w:hAnsi="Times New Roman" w:cs="Times New Roman"/>
          <w:color w:val="000000" w:themeColor="text1"/>
          <w:sz w:val="24"/>
          <w:szCs w:val="24"/>
        </w:rPr>
      </w:pPr>
    </w:p>
    <w:p w14:paraId="42437056" w14:textId="518BB509" w:rsidR="77B2063F" w:rsidRDefault="6996EF4A" w:rsidP="77B2063F">
      <w:pPr>
        <w:spacing w:line="360" w:lineRule="auto"/>
        <w:jc w:val="center"/>
      </w:pPr>
      <w:r>
        <w:rPr>
          <w:noProof/>
        </w:rPr>
        <w:drawing>
          <wp:inline distT="0" distB="0" distL="0" distR="0" wp14:anchorId="262F544C" wp14:editId="34DDBA6F">
            <wp:extent cx="4139712" cy="2308717"/>
            <wp:effectExtent l="0" t="0" r="0" b="0"/>
            <wp:docPr id="2053685778" name="Picture 2053685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rcRect t="15170" b="10470"/>
                    <a:stretch>
                      <a:fillRect/>
                    </a:stretch>
                  </pic:blipFill>
                  <pic:spPr>
                    <a:xfrm>
                      <a:off x="0" y="0"/>
                      <a:ext cx="4139712" cy="2308717"/>
                    </a:xfrm>
                    <a:prstGeom prst="rect">
                      <a:avLst/>
                    </a:prstGeom>
                  </pic:spPr>
                </pic:pic>
              </a:graphicData>
            </a:graphic>
          </wp:inline>
        </w:drawing>
      </w:r>
    </w:p>
    <w:p w14:paraId="5788B838" w14:textId="1220956F" w:rsidR="5CDFCB66" w:rsidRDefault="5CDFCB66" w:rsidP="5CDFCB66">
      <w:pPr>
        <w:spacing w:line="360" w:lineRule="auto"/>
        <w:jc w:val="center"/>
      </w:pPr>
    </w:p>
    <w:p w14:paraId="1EA333B2" w14:textId="71AC9EDD" w:rsidR="00F23974" w:rsidRPr="005C25F4" w:rsidRDefault="6996EF4A" w:rsidP="5CDFCB66">
      <w:pPr>
        <w:spacing w:line="360" w:lineRule="auto"/>
        <w:jc w:val="both"/>
        <w:rPr>
          <w:rFonts w:ascii="Times New Roman" w:hAnsi="Times New Roman" w:cs="Times New Roman"/>
          <w:sz w:val="24"/>
          <w:szCs w:val="24"/>
        </w:rPr>
      </w:pPr>
      <w:r w:rsidRPr="5CDFCB66">
        <w:rPr>
          <w:rFonts w:ascii="Times New Roman" w:hAnsi="Times New Roman" w:cs="Times New Roman"/>
          <w:sz w:val="24"/>
          <w:szCs w:val="24"/>
        </w:rPr>
        <w:t xml:space="preserve">Finalmente se concluye que la adaptación de las herramientas Lean en la logística varía dependiendo del proceso en el que se encuentren aplicadas y al sector al cual pertenece la empresa que desea implementar esta filosofía., </w:t>
      </w:r>
      <w:r w:rsidR="0EBD9F68" w:rsidRPr="5CDFCB66">
        <w:rPr>
          <w:rFonts w:ascii="Times New Roman" w:hAnsi="Times New Roman" w:cs="Times New Roman"/>
          <w:sz w:val="24"/>
          <w:szCs w:val="24"/>
        </w:rPr>
        <w:t>Sólo basta en realizar algunos ajustes e implementar nuevos indicadores y medidas de rendimiento adaptadas a la logística para hacer uso de las herramientas Lean.</w:t>
      </w:r>
    </w:p>
    <w:p w14:paraId="0FD4577B" w14:textId="01B9BCA2" w:rsidR="00F23974" w:rsidRPr="005C25F4" w:rsidRDefault="00F23974" w:rsidP="5CDFCB66">
      <w:pPr>
        <w:spacing w:line="360" w:lineRule="auto"/>
        <w:jc w:val="both"/>
        <w:rPr>
          <w:rFonts w:ascii="Times New Roman" w:hAnsi="Times New Roman" w:cs="Times New Roman"/>
          <w:sz w:val="24"/>
          <w:szCs w:val="24"/>
        </w:rPr>
      </w:pPr>
    </w:p>
    <w:p w14:paraId="70CEBB97" w14:textId="72E23150" w:rsidR="001E1C25" w:rsidRDefault="005C25F4" w:rsidP="005C25F4">
      <w:pPr>
        <w:spacing w:line="360" w:lineRule="auto"/>
        <w:jc w:val="center"/>
        <w:rPr>
          <w:rFonts w:ascii="Times New Roman" w:hAnsi="Times New Roman" w:cs="Times New Roman"/>
          <w:sz w:val="24"/>
          <w:szCs w:val="24"/>
          <w:highlight w:val="cyan"/>
        </w:rPr>
      </w:pPr>
      <w:r w:rsidRPr="005C25F4">
        <w:rPr>
          <w:rFonts w:ascii="Times New Roman" w:hAnsi="Times New Roman" w:cs="Times New Roman"/>
          <w:sz w:val="24"/>
          <w:szCs w:val="24"/>
        </w:rPr>
        <w:t>.</w:t>
      </w:r>
    </w:p>
    <w:p w14:paraId="1175ECA5" w14:textId="74043F71" w:rsidR="009112F8" w:rsidRDefault="009112F8" w:rsidP="00091B67">
      <w:pPr>
        <w:spacing w:line="360" w:lineRule="auto"/>
        <w:jc w:val="center"/>
        <w:rPr>
          <w:rFonts w:ascii="Times New Roman" w:hAnsi="Times New Roman" w:cs="Times New Roman"/>
          <w:sz w:val="24"/>
          <w:szCs w:val="24"/>
          <w:highlight w:val="cyan"/>
        </w:rPr>
      </w:pPr>
    </w:p>
    <w:p w14:paraId="620D04F9" w14:textId="36E5D847" w:rsidR="00091B67" w:rsidRPr="00091B67" w:rsidRDefault="00091B67" w:rsidP="00091B67">
      <w:pPr>
        <w:spacing w:line="360" w:lineRule="auto"/>
        <w:jc w:val="center"/>
        <w:rPr>
          <w:rFonts w:ascii="Times New Roman" w:hAnsi="Times New Roman" w:cs="Times New Roman"/>
          <w:sz w:val="24"/>
          <w:szCs w:val="24"/>
        </w:rPr>
      </w:pPr>
    </w:p>
    <w:sectPr w:rsidR="00091B67" w:rsidRPr="00091B67" w:rsidSect="003533C4">
      <w:head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6BD1A" w14:textId="77777777" w:rsidR="004F32FB" w:rsidRDefault="004F32FB" w:rsidP="003533C4">
      <w:pPr>
        <w:spacing w:after="0" w:line="240" w:lineRule="auto"/>
      </w:pPr>
      <w:r>
        <w:separator/>
      </w:r>
    </w:p>
  </w:endnote>
  <w:endnote w:type="continuationSeparator" w:id="0">
    <w:p w14:paraId="0F4DE231" w14:textId="77777777" w:rsidR="004F32FB" w:rsidRDefault="004F32FB" w:rsidP="003533C4">
      <w:pPr>
        <w:spacing w:after="0" w:line="240" w:lineRule="auto"/>
      </w:pPr>
      <w:r>
        <w:continuationSeparator/>
      </w:r>
    </w:p>
  </w:endnote>
  <w:endnote w:type="continuationNotice" w:id="1">
    <w:p w14:paraId="0FE4A53B" w14:textId="77777777" w:rsidR="004F32FB" w:rsidRDefault="004F32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9A3FB" w14:textId="77777777" w:rsidR="004F32FB" w:rsidRDefault="004F32FB" w:rsidP="003533C4">
      <w:pPr>
        <w:spacing w:after="0" w:line="240" w:lineRule="auto"/>
      </w:pPr>
      <w:r>
        <w:separator/>
      </w:r>
    </w:p>
  </w:footnote>
  <w:footnote w:type="continuationSeparator" w:id="0">
    <w:p w14:paraId="2A1D1D63" w14:textId="77777777" w:rsidR="004F32FB" w:rsidRDefault="004F32FB" w:rsidP="003533C4">
      <w:pPr>
        <w:spacing w:after="0" w:line="240" w:lineRule="auto"/>
      </w:pPr>
      <w:r>
        <w:continuationSeparator/>
      </w:r>
    </w:p>
  </w:footnote>
  <w:footnote w:type="continuationNotice" w:id="1">
    <w:p w14:paraId="42C6A504" w14:textId="77777777" w:rsidR="004F32FB" w:rsidRDefault="004F32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1FBE" w14:textId="36CD0F8F" w:rsidR="00C00B02" w:rsidRPr="000F3E41" w:rsidRDefault="009A0CFB" w:rsidP="00F4179C">
    <w:pPr>
      <w:pStyle w:val="Encabezado"/>
      <w:rPr>
        <w:rFonts w:ascii="Times New Roman" w:hAnsi="Times New Roman" w:cs="Times New Roman"/>
      </w:rPr>
    </w:pPr>
    <w:r>
      <w:rPr>
        <w:noProof/>
      </w:rPr>
      <w:drawing>
        <wp:anchor distT="0" distB="0" distL="114300" distR="114300" simplePos="0" relativeHeight="251658240" behindDoc="0" locked="0" layoutInCell="1" allowOverlap="1" wp14:anchorId="3627F6C9" wp14:editId="6F74DFB7">
          <wp:simplePos x="0" y="0"/>
          <wp:positionH relativeFrom="column">
            <wp:posOffset>4505325</wp:posOffset>
          </wp:positionH>
          <wp:positionV relativeFrom="paragraph">
            <wp:posOffset>-212090</wp:posOffset>
          </wp:positionV>
          <wp:extent cx="981075" cy="513715"/>
          <wp:effectExtent l="0" t="0" r="0" b="0"/>
          <wp:wrapSquare wrapText="bothSides"/>
          <wp:docPr id="2" name="Imagen 2" descr="Imagen de la pantalla de un celular de un mensaje en letras blancas&#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magen de la pantalla de un celular de un mensaje en letras blancas&#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5137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363344CD" wp14:editId="3F9C7F16">
          <wp:simplePos x="0" y="0"/>
          <wp:positionH relativeFrom="column">
            <wp:posOffset>5514975</wp:posOffset>
          </wp:positionH>
          <wp:positionV relativeFrom="paragraph">
            <wp:posOffset>-154940</wp:posOffset>
          </wp:positionV>
          <wp:extent cx="1085850" cy="381000"/>
          <wp:effectExtent l="0" t="0" r="0" b="0"/>
          <wp:wrapSquare wrapText="bothSides"/>
          <wp:docPr id="1" name="Imagen 1" descr="EEIE UIS auf Twitter: &amp;quot;#60años #PionerosenColombia Con ocasión d la  celebración del aniversario número 60 del programa d Ingeniería Industrial  d la Escuela de Estudios Industriales y Empresariales, nos complace  compartirles 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EIE UIS auf Twitter: &amp;quot;#60años #PionerosenColombia Con ocasión d la  celebración del aniversario número 60 del programa d Ingeniería Industrial  d la Escuela de Estudios Industriales y Empresariales, nos complace  compartirles la"/>
                  <pic:cNvPicPr>
                    <a:picLocks noChangeAspect="1" noChangeArrowheads="1"/>
                  </pic:cNvPicPr>
                </pic:nvPicPr>
                <pic:blipFill>
                  <a:blip r:embed="rId2">
                    <a:extLst>
                      <a:ext uri="{28A0092B-C50C-407E-A947-70E740481C1C}">
                        <a14:useLocalDpi xmlns:a14="http://schemas.microsoft.com/office/drawing/2010/main" val="0"/>
                      </a:ext>
                    </a:extLst>
                  </a:blip>
                  <a:srcRect r="23734"/>
                  <a:stretch>
                    <a:fillRect/>
                  </a:stretch>
                </pic:blipFill>
                <pic:spPr bwMode="auto">
                  <a:xfrm>
                    <a:off x="0" y="0"/>
                    <a:ext cx="1085850" cy="381000"/>
                  </a:xfrm>
                  <a:prstGeom prst="rect">
                    <a:avLst/>
                  </a:prstGeom>
                  <a:noFill/>
                </pic:spPr>
              </pic:pic>
            </a:graphicData>
          </a:graphic>
          <wp14:sizeRelH relativeFrom="page">
            <wp14:pctWidth>0</wp14:pctWidth>
          </wp14:sizeRelH>
          <wp14:sizeRelV relativeFrom="page">
            <wp14:pctHeight>0</wp14:pctHeight>
          </wp14:sizeRelV>
        </wp:anchor>
      </w:drawing>
    </w:r>
    <w:r w:rsidR="00F4179C">
      <w:t xml:space="preserve"> </w:t>
    </w:r>
    <w:r w:rsidR="00F4179C" w:rsidRPr="000F3E41">
      <w:rPr>
        <w:rFonts w:ascii="Times New Roman" w:hAnsi="Times New Roman" w:cs="Times New Roman"/>
      </w:rPr>
      <w:t>ESTUDIO EXPLORATORIO DE T</w:t>
    </w:r>
    <w:r w:rsidR="0017411E" w:rsidRPr="000F3E41">
      <w:rPr>
        <w:rFonts w:ascii="Times New Roman" w:hAnsi="Times New Roman" w:cs="Times New Roman"/>
      </w:rPr>
      <w:t>É</w:t>
    </w:r>
    <w:r w:rsidR="00F4179C" w:rsidRPr="000F3E41">
      <w:rPr>
        <w:rFonts w:ascii="Times New Roman" w:hAnsi="Times New Roman" w:cs="Times New Roman"/>
      </w:rPr>
      <w:t>CNICAS LEAN EN L</w:t>
    </w:r>
    <w:r w:rsidR="00C00B02" w:rsidRPr="000F3E41">
      <w:rPr>
        <w:rFonts w:ascii="Times New Roman" w:hAnsi="Times New Roman" w:cs="Times New Roman"/>
      </w:rPr>
      <w:t>A LOGÍSTICA</w:t>
    </w:r>
  </w:p>
  <w:p w14:paraId="67E346C2" w14:textId="2FE41CB9" w:rsidR="00F4179C" w:rsidRDefault="00F4179C" w:rsidP="00F4179C">
    <w:pPr>
      <w:pStyle w:val="Encabezado"/>
      <w:rPr>
        <w:lang w:val="es-ES"/>
      </w:rPr>
    </w:pPr>
    <w:r>
      <w:t xml:space="preserve">                                                                                                          </w:t>
    </w:r>
  </w:p>
  <w:p w14:paraId="6953A62A" w14:textId="1E016261" w:rsidR="003533C4" w:rsidRPr="00F4179C" w:rsidRDefault="003533C4" w:rsidP="00F417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101"/>
    <w:multiLevelType w:val="hybridMultilevel"/>
    <w:tmpl w:val="3348DD8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20A34236"/>
    <w:multiLevelType w:val="multilevel"/>
    <w:tmpl w:val="5E821C52"/>
    <w:lvl w:ilvl="0">
      <w:start w:val="1"/>
      <w:numFmt w:val="decimal"/>
      <w:lvlText w:val="%1."/>
      <w:lvlJc w:val="left"/>
      <w:pPr>
        <w:ind w:left="360" w:hanging="360"/>
      </w:p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b/>
        <w:bCs w:val="0"/>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330ACB"/>
    <w:multiLevelType w:val="hybridMultilevel"/>
    <w:tmpl w:val="6C8EFB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615311"/>
    <w:multiLevelType w:val="hybridMultilevel"/>
    <w:tmpl w:val="D57687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9F36742"/>
    <w:multiLevelType w:val="hybridMultilevel"/>
    <w:tmpl w:val="259636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ADC4EA4"/>
    <w:multiLevelType w:val="hybridMultilevel"/>
    <w:tmpl w:val="6854DA34"/>
    <w:lvl w:ilvl="0" w:tplc="240A0001">
      <w:start w:val="1"/>
      <w:numFmt w:val="bullet"/>
      <w:lvlText w:val=""/>
      <w:lvlJc w:val="left"/>
      <w:pPr>
        <w:ind w:left="1079" w:hanging="360"/>
      </w:pPr>
      <w:rPr>
        <w:rFonts w:ascii="Symbol" w:hAnsi="Symbol" w:hint="default"/>
      </w:rPr>
    </w:lvl>
    <w:lvl w:ilvl="1" w:tplc="240A0003" w:tentative="1">
      <w:start w:val="1"/>
      <w:numFmt w:val="bullet"/>
      <w:lvlText w:val="o"/>
      <w:lvlJc w:val="left"/>
      <w:pPr>
        <w:ind w:left="1799" w:hanging="360"/>
      </w:pPr>
      <w:rPr>
        <w:rFonts w:ascii="Courier New" w:hAnsi="Courier New" w:cs="Courier New" w:hint="default"/>
      </w:rPr>
    </w:lvl>
    <w:lvl w:ilvl="2" w:tplc="240A0005" w:tentative="1">
      <w:start w:val="1"/>
      <w:numFmt w:val="bullet"/>
      <w:lvlText w:val=""/>
      <w:lvlJc w:val="left"/>
      <w:pPr>
        <w:ind w:left="2519" w:hanging="360"/>
      </w:pPr>
      <w:rPr>
        <w:rFonts w:ascii="Wingdings" w:hAnsi="Wingdings" w:hint="default"/>
      </w:rPr>
    </w:lvl>
    <w:lvl w:ilvl="3" w:tplc="240A0001" w:tentative="1">
      <w:start w:val="1"/>
      <w:numFmt w:val="bullet"/>
      <w:lvlText w:val=""/>
      <w:lvlJc w:val="left"/>
      <w:pPr>
        <w:ind w:left="3239" w:hanging="360"/>
      </w:pPr>
      <w:rPr>
        <w:rFonts w:ascii="Symbol" w:hAnsi="Symbol" w:hint="default"/>
      </w:rPr>
    </w:lvl>
    <w:lvl w:ilvl="4" w:tplc="240A0003" w:tentative="1">
      <w:start w:val="1"/>
      <w:numFmt w:val="bullet"/>
      <w:lvlText w:val="o"/>
      <w:lvlJc w:val="left"/>
      <w:pPr>
        <w:ind w:left="3959" w:hanging="360"/>
      </w:pPr>
      <w:rPr>
        <w:rFonts w:ascii="Courier New" w:hAnsi="Courier New" w:cs="Courier New" w:hint="default"/>
      </w:rPr>
    </w:lvl>
    <w:lvl w:ilvl="5" w:tplc="240A0005" w:tentative="1">
      <w:start w:val="1"/>
      <w:numFmt w:val="bullet"/>
      <w:lvlText w:val=""/>
      <w:lvlJc w:val="left"/>
      <w:pPr>
        <w:ind w:left="4679" w:hanging="360"/>
      </w:pPr>
      <w:rPr>
        <w:rFonts w:ascii="Wingdings" w:hAnsi="Wingdings" w:hint="default"/>
      </w:rPr>
    </w:lvl>
    <w:lvl w:ilvl="6" w:tplc="240A0001" w:tentative="1">
      <w:start w:val="1"/>
      <w:numFmt w:val="bullet"/>
      <w:lvlText w:val=""/>
      <w:lvlJc w:val="left"/>
      <w:pPr>
        <w:ind w:left="5399" w:hanging="360"/>
      </w:pPr>
      <w:rPr>
        <w:rFonts w:ascii="Symbol" w:hAnsi="Symbol" w:hint="default"/>
      </w:rPr>
    </w:lvl>
    <w:lvl w:ilvl="7" w:tplc="240A0003" w:tentative="1">
      <w:start w:val="1"/>
      <w:numFmt w:val="bullet"/>
      <w:lvlText w:val="o"/>
      <w:lvlJc w:val="left"/>
      <w:pPr>
        <w:ind w:left="6119" w:hanging="360"/>
      </w:pPr>
      <w:rPr>
        <w:rFonts w:ascii="Courier New" w:hAnsi="Courier New" w:cs="Courier New" w:hint="default"/>
      </w:rPr>
    </w:lvl>
    <w:lvl w:ilvl="8" w:tplc="240A0005" w:tentative="1">
      <w:start w:val="1"/>
      <w:numFmt w:val="bullet"/>
      <w:lvlText w:val=""/>
      <w:lvlJc w:val="left"/>
      <w:pPr>
        <w:ind w:left="6839" w:hanging="360"/>
      </w:pPr>
      <w:rPr>
        <w:rFonts w:ascii="Wingdings" w:hAnsi="Wingdings" w:hint="default"/>
      </w:rPr>
    </w:lvl>
  </w:abstractNum>
  <w:abstractNum w:abstractNumId="6" w15:restartNumberingAfterBreak="0">
    <w:nsid w:val="4BAC3C54"/>
    <w:multiLevelType w:val="hybridMultilevel"/>
    <w:tmpl w:val="2800F9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95067172">
    <w:abstractNumId w:val="4"/>
  </w:num>
  <w:num w:numId="2" w16cid:durableId="1484394658">
    <w:abstractNumId w:val="5"/>
  </w:num>
  <w:num w:numId="3" w16cid:durableId="353582997">
    <w:abstractNumId w:val="2"/>
  </w:num>
  <w:num w:numId="4" w16cid:durableId="480124110">
    <w:abstractNumId w:val="3"/>
  </w:num>
  <w:num w:numId="5" w16cid:durableId="1893884469">
    <w:abstractNumId w:val="1"/>
  </w:num>
  <w:num w:numId="6" w16cid:durableId="1120760499">
    <w:abstractNumId w:val="6"/>
  </w:num>
  <w:num w:numId="7" w16cid:durableId="134259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C4"/>
    <w:rsid w:val="00091B67"/>
    <w:rsid w:val="000A3710"/>
    <w:rsid w:val="000F3E41"/>
    <w:rsid w:val="00114297"/>
    <w:rsid w:val="00133778"/>
    <w:rsid w:val="001519D6"/>
    <w:rsid w:val="0017411E"/>
    <w:rsid w:val="001778D6"/>
    <w:rsid w:val="00183E4E"/>
    <w:rsid w:val="001A55E5"/>
    <w:rsid w:val="001B25FB"/>
    <w:rsid w:val="001C7402"/>
    <w:rsid w:val="001D12BB"/>
    <w:rsid w:val="001E1C25"/>
    <w:rsid w:val="00211B13"/>
    <w:rsid w:val="00226999"/>
    <w:rsid w:val="00231259"/>
    <w:rsid w:val="00257CE3"/>
    <w:rsid w:val="00280EB0"/>
    <w:rsid w:val="0028D03C"/>
    <w:rsid w:val="00295B58"/>
    <w:rsid w:val="002A526D"/>
    <w:rsid w:val="002E4A15"/>
    <w:rsid w:val="00310F68"/>
    <w:rsid w:val="00311C36"/>
    <w:rsid w:val="00341F78"/>
    <w:rsid w:val="00343DDF"/>
    <w:rsid w:val="003533C4"/>
    <w:rsid w:val="003849B6"/>
    <w:rsid w:val="003A2445"/>
    <w:rsid w:val="003B7C6B"/>
    <w:rsid w:val="003D4E83"/>
    <w:rsid w:val="003F4AC5"/>
    <w:rsid w:val="004150CB"/>
    <w:rsid w:val="00436016"/>
    <w:rsid w:val="0045285C"/>
    <w:rsid w:val="00491809"/>
    <w:rsid w:val="004D2319"/>
    <w:rsid w:val="004F226A"/>
    <w:rsid w:val="004F32FB"/>
    <w:rsid w:val="00545DE5"/>
    <w:rsid w:val="005B36DE"/>
    <w:rsid w:val="005C25F4"/>
    <w:rsid w:val="005E42B9"/>
    <w:rsid w:val="00604A44"/>
    <w:rsid w:val="00617FF1"/>
    <w:rsid w:val="00622C18"/>
    <w:rsid w:val="006356BE"/>
    <w:rsid w:val="00675778"/>
    <w:rsid w:val="00687782"/>
    <w:rsid w:val="006906F5"/>
    <w:rsid w:val="006947AD"/>
    <w:rsid w:val="006B4079"/>
    <w:rsid w:val="007124E9"/>
    <w:rsid w:val="00713A1D"/>
    <w:rsid w:val="00745011"/>
    <w:rsid w:val="007642FB"/>
    <w:rsid w:val="007778A3"/>
    <w:rsid w:val="007A5199"/>
    <w:rsid w:val="007B6778"/>
    <w:rsid w:val="007E333A"/>
    <w:rsid w:val="007E585E"/>
    <w:rsid w:val="008399F8"/>
    <w:rsid w:val="00842E2C"/>
    <w:rsid w:val="0085196E"/>
    <w:rsid w:val="00881247"/>
    <w:rsid w:val="008B09F3"/>
    <w:rsid w:val="008D1987"/>
    <w:rsid w:val="009018DC"/>
    <w:rsid w:val="00902CDD"/>
    <w:rsid w:val="009112F8"/>
    <w:rsid w:val="00934E87"/>
    <w:rsid w:val="00946AB2"/>
    <w:rsid w:val="009A0CFB"/>
    <w:rsid w:val="009C183B"/>
    <w:rsid w:val="009E6699"/>
    <w:rsid w:val="009E6AD5"/>
    <w:rsid w:val="00A07622"/>
    <w:rsid w:val="00A42C62"/>
    <w:rsid w:val="00A51A0E"/>
    <w:rsid w:val="00A852CD"/>
    <w:rsid w:val="00A94990"/>
    <w:rsid w:val="00B16CB5"/>
    <w:rsid w:val="00B23264"/>
    <w:rsid w:val="00B6416C"/>
    <w:rsid w:val="00B83BA5"/>
    <w:rsid w:val="00BB1719"/>
    <w:rsid w:val="00BC4DC2"/>
    <w:rsid w:val="00C00B02"/>
    <w:rsid w:val="00C2073E"/>
    <w:rsid w:val="00C24CEA"/>
    <w:rsid w:val="00C569A9"/>
    <w:rsid w:val="00C578DC"/>
    <w:rsid w:val="00D01C68"/>
    <w:rsid w:val="00D03F0D"/>
    <w:rsid w:val="00D93C3F"/>
    <w:rsid w:val="00D95B9C"/>
    <w:rsid w:val="00DA4DE8"/>
    <w:rsid w:val="00DA7D54"/>
    <w:rsid w:val="00DB2047"/>
    <w:rsid w:val="00DC6B97"/>
    <w:rsid w:val="00E0445B"/>
    <w:rsid w:val="00E14B0C"/>
    <w:rsid w:val="00E43E26"/>
    <w:rsid w:val="00E9596A"/>
    <w:rsid w:val="00EA711A"/>
    <w:rsid w:val="00EB3E71"/>
    <w:rsid w:val="00EB6D3E"/>
    <w:rsid w:val="00F21389"/>
    <w:rsid w:val="00F23974"/>
    <w:rsid w:val="00F4179C"/>
    <w:rsid w:val="00F67577"/>
    <w:rsid w:val="00FA18AE"/>
    <w:rsid w:val="00FA2E41"/>
    <w:rsid w:val="00FB00E8"/>
    <w:rsid w:val="00FD2017"/>
    <w:rsid w:val="01AF632F"/>
    <w:rsid w:val="036D880D"/>
    <w:rsid w:val="037AF399"/>
    <w:rsid w:val="04A5279B"/>
    <w:rsid w:val="05F807C1"/>
    <w:rsid w:val="0631BE97"/>
    <w:rsid w:val="06BE22FF"/>
    <w:rsid w:val="07D0230A"/>
    <w:rsid w:val="0866BA10"/>
    <w:rsid w:val="099D51A3"/>
    <w:rsid w:val="0A6228D2"/>
    <w:rsid w:val="0B8E57AB"/>
    <w:rsid w:val="0B9E5AD2"/>
    <w:rsid w:val="0CA510FD"/>
    <w:rsid w:val="0EBD9F68"/>
    <w:rsid w:val="103D4E6D"/>
    <w:rsid w:val="10AF4EB7"/>
    <w:rsid w:val="10DD85C1"/>
    <w:rsid w:val="1219C081"/>
    <w:rsid w:val="13F0F29A"/>
    <w:rsid w:val="176E408E"/>
    <w:rsid w:val="17A4DB2A"/>
    <w:rsid w:val="18A95755"/>
    <w:rsid w:val="18CF6F49"/>
    <w:rsid w:val="190A10EF"/>
    <w:rsid w:val="1992F7FD"/>
    <w:rsid w:val="1B488738"/>
    <w:rsid w:val="1BD4510D"/>
    <w:rsid w:val="1BE84374"/>
    <w:rsid w:val="1BFFD73F"/>
    <w:rsid w:val="1D8413D5"/>
    <w:rsid w:val="1DFF5361"/>
    <w:rsid w:val="1E0B9682"/>
    <w:rsid w:val="1EC03C3E"/>
    <w:rsid w:val="1F09F896"/>
    <w:rsid w:val="20554F10"/>
    <w:rsid w:val="218A7C22"/>
    <w:rsid w:val="21F11F71"/>
    <w:rsid w:val="220F66DB"/>
    <w:rsid w:val="23129E3D"/>
    <w:rsid w:val="2421E590"/>
    <w:rsid w:val="25017936"/>
    <w:rsid w:val="256EFE7D"/>
    <w:rsid w:val="25715F57"/>
    <w:rsid w:val="27150A7B"/>
    <w:rsid w:val="28A90019"/>
    <w:rsid w:val="28B0DADC"/>
    <w:rsid w:val="29521FB8"/>
    <w:rsid w:val="2A1E896B"/>
    <w:rsid w:val="2A44D07A"/>
    <w:rsid w:val="2ABBC893"/>
    <w:rsid w:val="2B178904"/>
    <w:rsid w:val="2C1905F0"/>
    <w:rsid w:val="2C6AAEC7"/>
    <w:rsid w:val="2CE28EAA"/>
    <w:rsid w:val="2CEF67AA"/>
    <w:rsid w:val="2DBB74E4"/>
    <w:rsid w:val="2F36AA29"/>
    <w:rsid w:val="3148CFF7"/>
    <w:rsid w:val="317CD9EF"/>
    <w:rsid w:val="319E8C1A"/>
    <w:rsid w:val="3236BA02"/>
    <w:rsid w:val="32535892"/>
    <w:rsid w:val="328D2A13"/>
    <w:rsid w:val="330416B2"/>
    <w:rsid w:val="341551D3"/>
    <w:rsid w:val="343BE5A0"/>
    <w:rsid w:val="34DDBA6F"/>
    <w:rsid w:val="35940EAD"/>
    <w:rsid w:val="372A2B59"/>
    <w:rsid w:val="372FDF0E"/>
    <w:rsid w:val="382DB99B"/>
    <w:rsid w:val="3853F24C"/>
    <w:rsid w:val="385B2FAC"/>
    <w:rsid w:val="385DE8E3"/>
    <w:rsid w:val="388ABE8B"/>
    <w:rsid w:val="38A84E43"/>
    <w:rsid w:val="3A38573F"/>
    <w:rsid w:val="3CC4139D"/>
    <w:rsid w:val="3CC55100"/>
    <w:rsid w:val="3D6B955E"/>
    <w:rsid w:val="3E21F4E9"/>
    <w:rsid w:val="3F1D2A90"/>
    <w:rsid w:val="40D6C154"/>
    <w:rsid w:val="41A4DBD8"/>
    <w:rsid w:val="442C9735"/>
    <w:rsid w:val="45C1C642"/>
    <w:rsid w:val="45FE0D55"/>
    <w:rsid w:val="465555A4"/>
    <w:rsid w:val="465F1924"/>
    <w:rsid w:val="4663DEC3"/>
    <w:rsid w:val="4711488E"/>
    <w:rsid w:val="472C75D4"/>
    <w:rsid w:val="47CDCFA3"/>
    <w:rsid w:val="47FAE985"/>
    <w:rsid w:val="47FAF4FF"/>
    <w:rsid w:val="48538F3D"/>
    <w:rsid w:val="48712347"/>
    <w:rsid w:val="49088D56"/>
    <w:rsid w:val="4B759472"/>
    <w:rsid w:val="4BE0709D"/>
    <w:rsid w:val="4C402E18"/>
    <w:rsid w:val="4CF40E91"/>
    <w:rsid w:val="4E0DDE9A"/>
    <w:rsid w:val="4F261A11"/>
    <w:rsid w:val="4FAA8188"/>
    <w:rsid w:val="50417DB1"/>
    <w:rsid w:val="505C6B7B"/>
    <w:rsid w:val="50DEE6BE"/>
    <w:rsid w:val="5195AEB2"/>
    <w:rsid w:val="51CABC71"/>
    <w:rsid w:val="53668CD2"/>
    <w:rsid w:val="53D25A25"/>
    <w:rsid w:val="5459163D"/>
    <w:rsid w:val="55FB2921"/>
    <w:rsid w:val="55FB349B"/>
    <w:rsid w:val="564EF616"/>
    <w:rsid w:val="5846FFF0"/>
    <w:rsid w:val="584E5503"/>
    <w:rsid w:val="597C5FD3"/>
    <w:rsid w:val="599ECF5C"/>
    <w:rsid w:val="5A94E195"/>
    <w:rsid w:val="5CA3CCD4"/>
    <w:rsid w:val="5CDFCB66"/>
    <w:rsid w:val="5D21C626"/>
    <w:rsid w:val="5E8CDA5F"/>
    <w:rsid w:val="5F99C5AF"/>
    <w:rsid w:val="5FDB6D96"/>
    <w:rsid w:val="600FF2FC"/>
    <w:rsid w:val="60B38EE4"/>
    <w:rsid w:val="60CC8A4C"/>
    <w:rsid w:val="614ACCF6"/>
    <w:rsid w:val="6251F4D4"/>
    <w:rsid w:val="631876DE"/>
    <w:rsid w:val="63604B82"/>
    <w:rsid w:val="63F183F4"/>
    <w:rsid w:val="641466C1"/>
    <w:rsid w:val="647F0CFE"/>
    <w:rsid w:val="650745E0"/>
    <w:rsid w:val="6510E38A"/>
    <w:rsid w:val="653B5156"/>
    <w:rsid w:val="66C1AE53"/>
    <w:rsid w:val="67871131"/>
    <w:rsid w:val="67E51D74"/>
    <w:rsid w:val="6996EF4A"/>
    <w:rsid w:val="6ABA674F"/>
    <w:rsid w:val="6B0D01AD"/>
    <w:rsid w:val="6C1A0E89"/>
    <w:rsid w:val="6CB88E97"/>
    <w:rsid w:val="6DC47317"/>
    <w:rsid w:val="6E7FC6B5"/>
    <w:rsid w:val="6E97B79F"/>
    <w:rsid w:val="6EC7AA79"/>
    <w:rsid w:val="6F0CA168"/>
    <w:rsid w:val="6F5E231A"/>
    <w:rsid w:val="734ECF9A"/>
    <w:rsid w:val="741B930E"/>
    <w:rsid w:val="747ED1AD"/>
    <w:rsid w:val="75D1E18B"/>
    <w:rsid w:val="76B598ED"/>
    <w:rsid w:val="77B2063F"/>
    <w:rsid w:val="7BB4D7DE"/>
    <w:rsid w:val="7C304475"/>
    <w:rsid w:val="7C92407F"/>
    <w:rsid w:val="7DB20CB5"/>
    <w:rsid w:val="7E6C5408"/>
    <w:rsid w:val="7EB3AA50"/>
    <w:rsid w:val="7EBD50D3"/>
    <w:rsid w:val="7FC0883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7C052"/>
  <w15:docId w15:val="{534FB0FD-41D0-4DF4-AC4F-1D1978C0C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778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autoRedefine/>
    <w:uiPriority w:val="9"/>
    <w:unhideWhenUsed/>
    <w:qFormat/>
    <w:rsid w:val="001778D6"/>
    <w:pPr>
      <w:keepNext/>
      <w:keepLines/>
      <w:spacing w:after="0" w:line="240" w:lineRule="auto"/>
      <w:ind w:firstLine="720"/>
      <w:outlineLvl w:val="1"/>
    </w:pPr>
    <w:rPr>
      <w:rFonts w:ascii="Times New Roman" w:eastAsia="Times New Roman" w:hAnsi="Times New Roman" w:cs="Times New Roman"/>
      <w:b/>
      <w:sz w:val="24"/>
      <w:szCs w:val="26"/>
    </w:rPr>
  </w:style>
  <w:style w:type="paragraph" w:styleId="Ttulo3">
    <w:name w:val="heading 3"/>
    <w:basedOn w:val="Normal"/>
    <w:next w:val="Normal"/>
    <w:link w:val="Ttulo3Car"/>
    <w:autoRedefine/>
    <w:uiPriority w:val="9"/>
    <w:unhideWhenUsed/>
    <w:qFormat/>
    <w:rsid w:val="007778A3"/>
    <w:pPr>
      <w:keepNext/>
      <w:keepLines/>
      <w:spacing w:after="0" w:line="240" w:lineRule="auto"/>
      <w:outlineLvl w:val="2"/>
    </w:pPr>
    <w:rPr>
      <w:rFonts w:ascii="Times New Roman" w:eastAsia="Times New Roman" w:hAnsi="Times New Roman" w:cs="Times New Roman"/>
      <w:b/>
      <w:color w:val="000000"/>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533C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533C4"/>
  </w:style>
  <w:style w:type="paragraph" w:styleId="Piedepgina">
    <w:name w:val="footer"/>
    <w:basedOn w:val="Normal"/>
    <w:link w:val="PiedepginaCar"/>
    <w:uiPriority w:val="99"/>
    <w:unhideWhenUsed/>
    <w:rsid w:val="003533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533C4"/>
  </w:style>
  <w:style w:type="paragraph" w:styleId="HTMLconformatoprevio">
    <w:name w:val="HTML Preformatted"/>
    <w:basedOn w:val="Normal"/>
    <w:link w:val="HTMLconformatoprevioCar"/>
    <w:uiPriority w:val="99"/>
    <w:unhideWhenUsed/>
    <w:rsid w:val="00A85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rsid w:val="00A852CD"/>
    <w:rPr>
      <w:rFonts w:ascii="Courier New" w:eastAsia="Times New Roman" w:hAnsi="Courier New" w:cs="Courier New"/>
      <w:sz w:val="20"/>
      <w:szCs w:val="20"/>
      <w:lang w:eastAsia="es-CO"/>
    </w:rPr>
  </w:style>
  <w:style w:type="character" w:customStyle="1" w:styleId="y2iqfc">
    <w:name w:val="y2iqfc"/>
    <w:basedOn w:val="Fuentedeprrafopredeter"/>
    <w:rsid w:val="00A852CD"/>
  </w:style>
  <w:style w:type="paragraph" w:styleId="Prrafodelista">
    <w:name w:val="List Paragraph"/>
    <w:basedOn w:val="Normal"/>
    <w:uiPriority w:val="34"/>
    <w:qFormat/>
    <w:rsid w:val="00FD2017"/>
    <w:pPr>
      <w:ind w:left="720"/>
      <w:contextualSpacing/>
    </w:pPr>
  </w:style>
  <w:style w:type="table" w:styleId="Tablaconcuadrcula">
    <w:name w:val="Table Grid"/>
    <w:basedOn w:val="Tablanormal"/>
    <w:uiPriority w:val="39"/>
    <w:rsid w:val="00FD2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7778A3"/>
    <w:rPr>
      <w:rFonts w:ascii="Times New Roman" w:eastAsia="Times New Roman" w:hAnsi="Times New Roman" w:cs="Times New Roman"/>
      <w:b/>
      <w:color w:val="000000"/>
      <w:sz w:val="24"/>
      <w:szCs w:val="24"/>
    </w:rPr>
  </w:style>
  <w:style w:type="character" w:customStyle="1" w:styleId="Ttulo1Car">
    <w:name w:val="Título 1 Car"/>
    <w:basedOn w:val="Fuentedeprrafopredeter"/>
    <w:link w:val="Ttulo1"/>
    <w:uiPriority w:val="9"/>
    <w:rsid w:val="001778D6"/>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1778D6"/>
    <w:rPr>
      <w:rFonts w:ascii="Times New Roman" w:eastAsia="Times New Roman" w:hAnsi="Times New Roman" w:cs="Times New Roman"/>
      <w:b/>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41449">
      <w:bodyDiv w:val="1"/>
      <w:marLeft w:val="0"/>
      <w:marRight w:val="0"/>
      <w:marTop w:val="0"/>
      <w:marBottom w:val="0"/>
      <w:divBdr>
        <w:top w:val="none" w:sz="0" w:space="0" w:color="auto"/>
        <w:left w:val="none" w:sz="0" w:space="0" w:color="auto"/>
        <w:bottom w:val="none" w:sz="0" w:space="0" w:color="auto"/>
        <w:right w:val="none" w:sz="0" w:space="0" w:color="auto"/>
      </w:divBdr>
    </w:div>
    <w:div w:id="1319924238">
      <w:bodyDiv w:val="1"/>
      <w:marLeft w:val="0"/>
      <w:marRight w:val="0"/>
      <w:marTop w:val="0"/>
      <w:marBottom w:val="0"/>
      <w:divBdr>
        <w:top w:val="none" w:sz="0" w:space="0" w:color="auto"/>
        <w:left w:val="none" w:sz="0" w:space="0" w:color="auto"/>
        <w:bottom w:val="none" w:sz="0" w:space="0" w:color="auto"/>
        <w:right w:val="none" w:sz="0" w:space="0" w:color="auto"/>
      </w:divBdr>
    </w:div>
    <w:div w:id="1431312659">
      <w:bodyDiv w:val="1"/>
      <w:marLeft w:val="0"/>
      <w:marRight w:val="0"/>
      <w:marTop w:val="0"/>
      <w:marBottom w:val="0"/>
      <w:divBdr>
        <w:top w:val="none" w:sz="0" w:space="0" w:color="auto"/>
        <w:left w:val="none" w:sz="0" w:space="0" w:color="auto"/>
        <w:bottom w:val="none" w:sz="0" w:space="0" w:color="auto"/>
        <w:right w:val="none" w:sz="0" w:space="0" w:color="auto"/>
      </w:divBdr>
    </w:div>
    <w:div w:id="1502309353">
      <w:bodyDiv w:val="1"/>
      <w:marLeft w:val="0"/>
      <w:marRight w:val="0"/>
      <w:marTop w:val="0"/>
      <w:marBottom w:val="0"/>
      <w:divBdr>
        <w:top w:val="none" w:sz="0" w:space="0" w:color="auto"/>
        <w:left w:val="none" w:sz="0" w:space="0" w:color="auto"/>
        <w:bottom w:val="none" w:sz="0" w:space="0" w:color="auto"/>
        <w:right w:val="none" w:sz="0" w:space="0" w:color="auto"/>
      </w:divBdr>
    </w:div>
    <w:div w:id="1618365560">
      <w:bodyDiv w:val="1"/>
      <w:marLeft w:val="0"/>
      <w:marRight w:val="0"/>
      <w:marTop w:val="0"/>
      <w:marBottom w:val="0"/>
      <w:divBdr>
        <w:top w:val="none" w:sz="0" w:space="0" w:color="auto"/>
        <w:left w:val="none" w:sz="0" w:space="0" w:color="auto"/>
        <w:bottom w:val="none" w:sz="0" w:space="0" w:color="auto"/>
        <w:right w:val="none" w:sz="0" w:space="0" w:color="auto"/>
      </w:divBdr>
    </w:div>
    <w:div w:id="1924218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E51A0AC298934495DB0DF8691DBEC2" ma:contentTypeVersion="7" ma:contentTypeDescription="Create a new document." ma:contentTypeScope="" ma:versionID="87c56ad2ac0925c21dc7092f477f6e0f">
  <xsd:schema xmlns:xsd="http://www.w3.org/2001/XMLSchema" xmlns:xs="http://www.w3.org/2001/XMLSchema" xmlns:p="http://schemas.microsoft.com/office/2006/metadata/properties" xmlns:ns3="75089f9f-a14a-4d97-998f-983ebe230161" xmlns:ns4="81fdba3a-810c-48fe-8eee-381853f6ad2a" targetNamespace="http://schemas.microsoft.com/office/2006/metadata/properties" ma:root="true" ma:fieldsID="9607b758a4e3598ab6c77fdb4fef082e" ns3:_="" ns4:_="">
    <xsd:import namespace="75089f9f-a14a-4d97-998f-983ebe230161"/>
    <xsd:import namespace="81fdba3a-810c-48fe-8eee-381853f6ad2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89f9f-a14a-4d97-998f-983ebe230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fdba3a-810c-48fe-8eee-381853f6ad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13BFC-493D-450C-BC33-9DAE21A8E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89f9f-a14a-4d97-998f-983ebe230161"/>
    <ds:schemaRef ds:uri="81fdba3a-810c-48fe-8eee-381853f6ad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9F16E2-9B02-438F-90D4-9024C9ACEE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F9E465-8835-4D85-88E4-3FF363D8F43F}">
  <ds:schemaRefs>
    <ds:schemaRef ds:uri="http://schemas.microsoft.com/sharepoint/v3/contenttype/forms"/>
  </ds:schemaRefs>
</ds:datastoreItem>
</file>

<file path=customXml/itemProps4.xml><?xml version="1.0" encoding="utf-8"?>
<ds:datastoreItem xmlns:ds="http://schemas.openxmlformats.org/officeDocument/2006/customXml" ds:itemID="{369FDC4D-3B0D-4A05-B9E3-50B165C6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1283</Words>
  <Characters>7059</Characters>
  <Application>Microsoft Office Word</Application>
  <DocSecurity>0</DocSecurity>
  <Lines>58</Lines>
  <Paragraphs>16</Paragraphs>
  <ScaleCrop>false</ScaleCrop>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MORANTES</dc:creator>
  <cp:keywords/>
  <dc:description/>
  <cp:lastModifiedBy>Alejandra♥ Alvarez</cp:lastModifiedBy>
  <cp:revision>2</cp:revision>
  <dcterms:created xsi:type="dcterms:W3CDTF">2022-09-11T23:06:00Z</dcterms:created>
  <dcterms:modified xsi:type="dcterms:W3CDTF">2022-09-11T23:06:00Z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0x01010067E51A0AC298934495DB0DF8691DBEC2</vt:lpwstr>
  </property>
</Properties>
</file>